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A86F" w14:textId="77777777" w:rsidR="0098400B" w:rsidRPr="0098400B" w:rsidRDefault="0098400B" w:rsidP="000D3E7A">
      <w:pPr>
        <w:shd w:val="clear" w:color="auto" w:fill="FFFFFF"/>
        <w:spacing w:before="100" w:beforeAutospacing="1" w:after="100" w:afterAutospacing="1" w:line="240" w:lineRule="auto"/>
        <w:textAlignment w:val="baseline"/>
        <w:outlineLvl w:val="0"/>
        <w:rPr>
          <w:rFonts w:ascii="Arial" w:eastAsia="Times New Roman" w:hAnsi="Arial" w:cs="Arial"/>
          <w:b/>
          <w:bCs/>
          <w:color w:val="232323"/>
          <w:kern w:val="36"/>
          <w:sz w:val="24"/>
          <w:szCs w:val="24"/>
          <w:lang w:eastAsia="en-GB"/>
          <w14:ligatures w14:val="none"/>
        </w:rPr>
      </w:pPr>
      <w:r w:rsidRPr="0098400B">
        <w:rPr>
          <w:rFonts w:ascii="Arial" w:eastAsia="Times New Roman" w:hAnsi="Arial" w:cs="Arial"/>
          <w:b/>
          <w:bCs/>
          <w:color w:val="232323"/>
          <w:kern w:val="36"/>
          <w:sz w:val="24"/>
          <w:szCs w:val="24"/>
          <w:lang w:eastAsia="en-GB"/>
          <w14:ligatures w14:val="none"/>
        </w:rPr>
        <w:t>Budget clarity on self-employed training costs</w:t>
      </w:r>
    </w:p>
    <w:p w14:paraId="1B440187" w14:textId="77777777" w:rsidR="0098400B" w:rsidRPr="0098400B" w:rsidRDefault="0098400B" w:rsidP="000D3E7A">
      <w:pPr>
        <w:shd w:val="clear" w:color="auto" w:fill="FFFFFF"/>
        <w:spacing w:after="0"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bdr w:val="none" w:sz="0" w:space="0" w:color="auto" w:frame="1"/>
          <w:lang w:eastAsia="en-GB"/>
          <w14:ligatures w14:val="none"/>
        </w:rPr>
        <w:t>6th Mar 2024</w:t>
      </w:r>
    </w:p>
    <w:p w14:paraId="1AFB624D"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As part of the Spring Budget, HMRC have published some new and updated guidance on when self-employed individuals can get a deduction for the costs of training.</w:t>
      </w:r>
    </w:p>
    <w:p w14:paraId="38F6D7AD" w14:textId="77777777" w:rsidR="0098400B" w:rsidRPr="0098400B" w:rsidRDefault="0098400B" w:rsidP="000D3E7A">
      <w:pPr>
        <w:shd w:val="clear" w:color="auto" w:fill="FFFFFF"/>
        <w:spacing w:before="100" w:beforeAutospacing="1" w:after="100" w:afterAutospacing="1" w:line="240" w:lineRule="auto"/>
        <w:textAlignment w:val="baseline"/>
        <w:outlineLvl w:val="1"/>
        <w:rPr>
          <w:rFonts w:ascii="Arial" w:eastAsia="Times New Roman" w:hAnsi="Arial" w:cs="Arial"/>
          <w:b/>
          <w:bCs/>
          <w:color w:val="232323"/>
          <w:kern w:val="0"/>
          <w:sz w:val="24"/>
          <w:szCs w:val="24"/>
          <w:lang w:eastAsia="en-GB"/>
          <w14:ligatures w14:val="none"/>
        </w:rPr>
      </w:pPr>
      <w:r w:rsidRPr="0098400B">
        <w:rPr>
          <w:rFonts w:ascii="Arial" w:eastAsia="Times New Roman" w:hAnsi="Arial" w:cs="Arial"/>
          <w:b/>
          <w:bCs/>
          <w:color w:val="232323"/>
          <w:kern w:val="0"/>
          <w:sz w:val="24"/>
          <w:szCs w:val="24"/>
          <w:lang w:eastAsia="en-GB"/>
          <w14:ligatures w14:val="none"/>
        </w:rPr>
        <w:t>What’s the problem?</w:t>
      </w:r>
    </w:p>
    <w:p w14:paraId="70BCC80F"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Under the income tax rules, the self-employed can only deduct the costs of training, provided it is incurred “wholly and exclusively” for the purposes of their existing business and is not capital in nature.</w:t>
      </w:r>
    </w:p>
    <w:p w14:paraId="1553DAD7"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 xml:space="preserve">It’s often relatively easy to say </w:t>
      </w:r>
      <w:proofErr w:type="gramStart"/>
      <w:r w:rsidRPr="0098400B">
        <w:rPr>
          <w:rFonts w:ascii="Arial" w:eastAsia="Times New Roman" w:hAnsi="Arial" w:cs="Arial"/>
          <w:color w:val="232323"/>
          <w:kern w:val="0"/>
          <w:sz w:val="24"/>
          <w:szCs w:val="24"/>
          <w:lang w:eastAsia="en-GB"/>
          <w14:ligatures w14:val="none"/>
        </w:rPr>
        <w:t>whether or not</w:t>
      </w:r>
      <w:proofErr w:type="gramEnd"/>
      <w:r w:rsidRPr="0098400B">
        <w:rPr>
          <w:rFonts w:ascii="Arial" w:eastAsia="Times New Roman" w:hAnsi="Arial" w:cs="Arial"/>
          <w:color w:val="232323"/>
          <w:kern w:val="0"/>
          <w:sz w:val="24"/>
          <w:szCs w:val="24"/>
          <w:lang w:eastAsia="en-GB"/>
          <w14:ligatures w14:val="none"/>
        </w:rPr>
        <w:t xml:space="preserve"> a training cost meets the wholly and exclusively test. However, determining whether it is capital or revenue can be trickier. As a rule, expenses relating to developing new skills or retraining with a view to changing occupation will generally be capital and therefore non-deductible.</w:t>
      </w:r>
    </w:p>
    <w:p w14:paraId="4CFF3974"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For example, someone taking initial training to be a driving instructor would not be able to claim a deduction, as that would be a capital cost incurred to set up their business.</w:t>
      </w:r>
    </w:p>
    <w:p w14:paraId="764BFEB0"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There have, to date, been several grey areas where it’s not clear if a deduction is available. If a GP decides to specialise in a particular area, is that a new skill, or just updating existing medical knowledge? Or if a plumber decides to undertake a bookkeeping course to improve their business records, can they get a deduction?</w:t>
      </w:r>
    </w:p>
    <w:p w14:paraId="5C76A730"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Whilst the training will involve the acquisition of new skills and knowledge, these will be used to benefit the plumber’s existing business, rather than starting a new one.</w:t>
      </w:r>
    </w:p>
    <w:p w14:paraId="4EF8C304" w14:textId="77777777" w:rsidR="0098400B" w:rsidRPr="0098400B" w:rsidRDefault="0098400B" w:rsidP="000D3E7A">
      <w:pPr>
        <w:shd w:val="clear" w:color="auto" w:fill="FFFFFF"/>
        <w:spacing w:before="100" w:beforeAutospacing="1" w:after="100" w:afterAutospacing="1" w:line="240" w:lineRule="auto"/>
        <w:textAlignment w:val="baseline"/>
        <w:outlineLvl w:val="1"/>
        <w:rPr>
          <w:rFonts w:ascii="Arial" w:eastAsia="Times New Roman" w:hAnsi="Arial" w:cs="Arial"/>
          <w:b/>
          <w:bCs/>
          <w:color w:val="232323"/>
          <w:kern w:val="0"/>
          <w:sz w:val="24"/>
          <w:szCs w:val="24"/>
          <w:lang w:eastAsia="en-GB"/>
          <w14:ligatures w14:val="none"/>
        </w:rPr>
      </w:pPr>
      <w:r w:rsidRPr="0098400B">
        <w:rPr>
          <w:rFonts w:ascii="Arial" w:eastAsia="Times New Roman" w:hAnsi="Arial" w:cs="Arial"/>
          <w:b/>
          <w:bCs/>
          <w:color w:val="232323"/>
          <w:kern w:val="0"/>
          <w:sz w:val="24"/>
          <w:szCs w:val="24"/>
          <w:lang w:eastAsia="en-GB"/>
          <w14:ligatures w14:val="none"/>
        </w:rPr>
        <w:t>What’s changed?</w:t>
      </w:r>
    </w:p>
    <w:p w14:paraId="385E3D7B" w14:textId="77777777" w:rsidR="0098400B" w:rsidRPr="0098400B" w:rsidRDefault="0098400B" w:rsidP="000D3E7A">
      <w:pPr>
        <w:shd w:val="clear" w:color="auto" w:fill="FFFFFF"/>
        <w:spacing w:beforeAutospacing="1" w:after="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Given these grey areas, HMRC’s approach of refreshing and revitalising the guidance is very welcome. HMRC have updated their Business Income Manual guidance in </w:t>
      </w:r>
      <w:hyperlink r:id="rId5" w:tgtFrame="_blank" w:history="1">
        <w:r w:rsidRPr="0098400B">
          <w:rPr>
            <w:rFonts w:ascii="Arial" w:eastAsia="Times New Roman" w:hAnsi="Arial" w:cs="Arial"/>
            <w:color w:val="232323"/>
            <w:kern w:val="0"/>
            <w:sz w:val="24"/>
            <w:szCs w:val="24"/>
            <w:u w:val="single"/>
            <w:bdr w:val="none" w:sz="0" w:space="0" w:color="auto" w:frame="1"/>
            <w:lang w:eastAsia="en-GB"/>
            <w14:ligatures w14:val="none"/>
          </w:rPr>
          <w:t>BIM35660</w:t>
        </w:r>
      </w:hyperlink>
      <w:r w:rsidRPr="0098400B">
        <w:rPr>
          <w:rFonts w:ascii="Arial" w:eastAsia="Times New Roman" w:hAnsi="Arial" w:cs="Arial"/>
          <w:color w:val="232323"/>
          <w:kern w:val="0"/>
          <w:sz w:val="24"/>
          <w:szCs w:val="24"/>
          <w:lang w:eastAsia="en-GB"/>
          <w14:ligatures w14:val="none"/>
        </w:rPr>
        <w:t> and </w:t>
      </w:r>
      <w:hyperlink r:id="rId6" w:tgtFrame="_blank" w:history="1">
        <w:r w:rsidRPr="0098400B">
          <w:rPr>
            <w:rFonts w:ascii="Arial" w:eastAsia="Times New Roman" w:hAnsi="Arial" w:cs="Arial"/>
            <w:color w:val="232323"/>
            <w:kern w:val="0"/>
            <w:sz w:val="24"/>
            <w:szCs w:val="24"/>
            <w:u w:val="single"/>
            <w:bdr w:val="none" w:sz="0" w:space="0" w:color="auto" w:frame="1"/>
            <w:lang w:eastAsia="en-GB"/>
            <w14:ligatures w14:val="none"/>
          </w:rPr>
          <w:t>BIM42526</w:t>
        </w:r>
      </w:hyperlink>
      <w:r w:rsidRPr="0098400B">
        <w:rPr>
          <w:rFonts w:ascii="Arial" w:eastAsia="Times New Roman" w:hAnsi="Arial" w:cs="Arial"/>
          <w:color w:val="232323"/>
          <w:kern w:val="0"/>
          <w:sz w:val="24"/>
          <w:szCs w:val="24"/>
          <w:lang w:eastAsia="en-GB"/>
          <w14:ligatures w14:val="none"/>
        </w:rPr>
        <w:t> to confirm that:</w:t>
      </w:r>
    </w:p>
    <w:p w14:paraId="12696709" w14:textId="77777777" w:rsidR="0098400B" w:rsidRPr="0098400B" w:rsidRDefault="0098400B" w:rsidP="000D3E7A">
      <w:pPr>
        <w:numPr>
          <w:ilvl w:val="0"/>
          <w:numId w:val="1"/>
        </w:numPr>
        <w:shd w:val="clear" w:color="auto" w:fill="FFFFFF"/>
        <w:spacing w:after="0"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Where training updates or provides expertise or knowledge in the individual’s existing business area the costs will normally be revenue in nature</w:t>
      </w:r>
    </w:p>
    <w:p w14:paraId="70A28574" w14:textId="77777777" w:rsidR="0098400B" w:rsidRPr="0098400B" w:rsidRDefault="0098400B" w:rsidP="000D3E7A">
      <w:pPr>
        <w:numPr>
          <w:ilvl w:val="0"/>
          <w:numId w:val="1"/>
        </w:numPr>
        <w:shd w:val="clear" w:color="auto" w:fill="FFFFFF"/>
        <w:spacing w:after="0"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 xml:space="preserve">The costs of acquiring new skills or knowledge to keep pace with advancements in technology and changes in industry practices will usually be allowable, provided they relate to the taxpayer’s existing </w:t>
      </w:r>
      <w:proofErr w:type="gramStart"/>
      <w:r w:rsidRPr="0098400B">
        <w:rPr>
          <w:rFonts w:ascii="Arial" w:eastAsia="Times New Roman" w:hAnsi="Arial" w:cs="Arial"/>
          <w:color w:val="232323"/>
          <w:kern w:val="0"/>
          <w:sz w:val="24"/>
          <w:szCs w:val="24"/>
          <w:lang w:eastAsia="en-GB"/>
          <w14:ligatures w14:val="none"/>
        </w:rPr>
        <w:t>business</w:t>
      </w:r>
      <w:proofErr w:type="gramEnd"/>
    </w:p>
    <w:p w14:paraId="25E6B465" w14:textId="77777777" w:rsidR="0098400B" w:rsidRPr="0098400B" w:rsidRDefault="0098400B" w:rsidP="000D3E7A">
      <w:pPr>
        <w:numPr>
          <w:ilvl w:val="0"/>
          <w:numId w:val="1"/>
        </w:numPr>
        <w:shd w:val="clear" w:color="auto" w:fill="FFFFFF"/>
        <w:spacing w:after="0"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 xml:space="preserve">If training is ancillary to the main trade, such as introductory bookkeeping or digital skills, the costs may also be revenue depending on the specific </w:t>
      </w:r>
      <w:proofErr w:type="gramStart"/>
      <w:r w:rsidRPr="0098400B">
        <w:rPr>
          <w:rFonts w:ascii="Arial" w:eastAsia="Times New Roman" w:hAnsi="Arial" w:cs="Arial"/>
          <w:color w:val="232323"/>
          <w:kern w:val="0"/>
          <w:sz w:val="24"/>
          <w:szCs w:val="24"/>
          <w:lang w:eastAsia="en-GB"/>
          <w14:ligatures w14:val="none"/>
        </w:rPr>
        <w:t>circumstances</w:t>
      </w:r>
      <w:proofErr w:type="gramEnd"/>
    </w:p>
    <w:p w14:paraId="1EA346E8" w14:textId="77777777" w:rsidR="0098400B" w:rsidRPr="0098400B" w:rsidRDefault="0098400B" w:rsidP="000D3E7A">
      <w:pPr>
        <w:shd w:val="clear" w:color="auto" w:fill="FFFFFF"/>
        <w:spacing w:beforeAutospacing="1" w:after="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Alongside this, HMRC have published a helpful </w:t>
      </w:r>
      <w:hyperlink r:id="rId7" w:tgtFrame="_blank" w:history="1">
        <w:r w:rsidRPr="0098400B">
          <w:rPr>
            <w:rFonts w:ascii="Arial" w:eastAsia="Times New Roman" w:hAnsi="Arial" w:cs="Arial"/>
            <w:color w:val="232323"/>
            <w:kern w:val="0"/>
            <w:sz w:val="24"/>
            <w:szCs w:val="24"/>
            <w:u w:val="single"/>
            <w:bdr w:val="none" w:sz="0" w:space="0" w:color="auto" w:frame="1"/>
            <w:lang w:eastAsia="en-GB"/>
            <w14:ligatures w14:val="none"/>
          </w:rPr>
          <w:t>new page of examples</w:t>
        </w:r>
      </w:hyperlink>
      <w:r w:rsidRPr="0098400B">
        <w:rPr>
          <w:rFonts w:ascii="Arial" w:eastAsia="Times New Roman" w:hAnsi="Arial" w:cs="Arial"/>
          <w:color w:val="232323"/>
          <w:kern w:val="0"/>
          <w:sz w:val="24"/>
          <w:szCs w:val="24"/>
          <w:lang w:eastAsia="en-GB"/>
          <w14:ligatures w14:val="none"/>
        </w:rPr>
        <w:t xml:space="preserve"> on GOV.UK to expand on and illustrate the points above. </w:t>
      </w:r>
      <w:proofErr w:type="gramStart"/>
      <w:r w:rsidRPr="0098400B">
        <w:rPr>
          <w:rFonts w:ascii="Arial" w:eastAsia="Times New Roman" w:hAnsi="Arial" w:cs="Arial"/>
          <w:color w:val="232323"/>
          <w:kern w:val="0"/>
          <w:sz w:val="24"/>
          <w:szCs w:val="24"/>
          <w:lang w:eastAsia="en-GB"/>
          <w14:ligatures w14:val="none"/>
        </w:rPr>
        <w:t>In particular, these</w:t>
      </w:r>
      <w:proofErr w:type="gramEnd"/>
      <w:r w:rsidRPr="0098400B">
        <w:rPr>
          <w:rFonts w:ascii="Arial" w:eastAsia="Times New Roman" w:hAnsi="Arial" w:cs="Arial"/>
          <w:color w:val="232323"/>
          <w:kern w:val="0"/>
          <w:sz w:val="24"/>
          <w:szCs w:val="24"/>
          <w:lang w:eastAsia="en-GB"/>
          <w14:ligatures w14:val="none"/>
        </w:rPr>
        <w:t xml:space="preserve"> confirm that our plumber who wants to learn to keep better books should be able to get a deduction.</w:t>
      </w:r>
    </w:p>
    <w:p w14:paraId="78E3FF4E" w14:textId="77777777" w:rsidR="0098400B" w:rsidRPr="0098400B" w:rsidRDefault="0098400B" w:rsidP="000D3E7A">
      <w:pPr>
        <w:shd w:val="clear" w:color="auto" w:fill="FFFFFF"/>
        <w:spacing w:before="100" w:beforeAutospacing="1" w:after="100" w:afterAutospacing="1" w:line="240" w:lineRule="auto"/>
        <w:textAlignment w:val="baseline"/>
        <w:outlineLvl w:val="1"/>
        <w:rPr>
          <w:rFonts w:ascii="Arial" w:eastAsia="Times New Roman" w:hAnsi="Arial" w:cs="Arial"/>
          <w:b/>
          <w:bCs/>
          <w:color w:val="232323"/>
          <w:kern w:val="0"/>
          <w:sz w:val="24"/>
          <w:szCs w:val="24"/>
          <w:lang w:eastAsia="en-GB"/>
          <w14:ligatures w14:val="none"/>
        </w:rPr>
      </w:pPr>
      <w:r w:rsidRPr="0098400B">
        <w:rPr>
          <w:rFonts w:ascii="Arial" w:eastAsia="Times New Roman" w:hAnsi="Arial" w:cs="Arial"/>
          <w:b/>
          <w:bCs/>
          <w:color w:val="232323"/>
          <w:kern w:val="0"/>
          <w:sz w:val="24"/>
          <w:szCs w:val="24"/>
          <w:lang w:eastAsia="en-GB"/>
          <w14:ligatures w14:val="none"/>
        </w:rPr>
        <w:lastRenderedPageBreak/>
        <w:t>A level playing field?</w:t>
      </w:r>
    </w:p>
    <w:p w14:paraId="5DC6490C"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These changes aside, the rules on deductibility of training costs for the self-employed remain much stricter than for employers, who can claim tax relief much more easily for the cost of training employees, even in new skills.</w:t>
      </w:r>
    </w:p>
    <w:p w14:paraId="1AED38FD" w14:textId="77777777" w:rsidR="0098400B" w:rsidRPr="0098400B" w:rsidRDefault="0098400B" w:rsidP="000D3E7A">
      <w:pPr>
        <w:shd w:val="clear" w:color="auto" w:fill="FFFFFF"/>
        <w:spacing w:before="100" w:beforeAutospacing="1" w:after="100" w:afterAutospacing="1" w:line="240" w:lineRule="auto"/>
        <w:textAlignment w:val="baseline"/>
        <w:rPr>
          <w:rFonts w:ascii="Arial" w:eastAsia="Times New Roman" w:hAnsi="Arial" w:cs="Arial"/>
          <w:color w:val="232323"/>
          <w:kern w:val="0"/>
          <w:sz w:val="24"/>
          <w:szCs w:val="24"/>
          <w:lang w:eastAsia="en-GB"/>
          <w14:ligatures w14:val="none"/>
        </w:rPr>
      </w:pPr>
      <w:r w:rsidRPr="0098400B">
        <w:rPr>
          <w:rFonts w:ascii="Arial" w:eastAsia="Times New Roman" w:hAnsi="Arial" w:cs="Arial"/>
          <w:color w:val="232323"/>
          <w:kern w:val="0"/>
          <w:sz w:val="24"/>
          <w:szCs w:val="24"/>
          <w:lang w:eastAsia="en-GB"/>
          <w14:ligatures w14:val="none"/>
        </w:rPr>
        <w:t>Arguably, the employed and self-employed should have a more level playing field when it comes to tax relief on work-related training costs.</w:t>
      </w:r>
    </w:p>
    <w:p w14:paraId="7096C80C" w14:textId="77777777" w:rsidR="00C04489" w:rsidRPr="00114F1A" w:rsidRDefault="00C04489" w:rsidP="000D3E7A">
      <w:pPr>
        <w:spacing w:line="240" w:lineRule="auto"/>
        <w:rPr>
          <w:rFonts w:ascii="Arial" w:hAnsi="Arial" w:cs="Arial"/>
          <w:sz w:val="24"/>
          <w:szCs w:val="24"/>
        </w:rPr>
      </w:pPr>
    </w:p>
    <w:sectPr w:rsidR="00C04489" w:rsidRPr="00114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93E64"/>
    <w:multiLevelType w:val="multilevel"/>
    <w:tmpl w:val="8C5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31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0B"/>
    <w:rsid w:val="000D3E7A"/>
    <w:rsid w:val="00114F1A"/>
    <w:rsid w:val="00556AAB"/>
    <w:rsid w:val="00903A9E"/>
    <w:rsid w:val="0098400B"/>
    <w:rsid w:val="00C0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1C5"/>
  <w15:chartTrackingRefBased/>
  <w15:docId w15:val="{63342452-CD27-4142-BAE1-07D3B51B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00B"/>
    <w:rPr>
      <w:rFonts w:eastAsiaTheme="majorEastAsia" w:cstheme="majorBidi"/>
      <w:color w:val="272727" w:themeColor="text1" w:themeTint="D8"/>
    </w:rPr>
  </w:style>
  <w:style w:type="paragraph" w:styleId="Title">
    <w:name w:val="Title"/>
    <w:basedOn w:val="Normal"/>
    <w:next w:val="Normal"/>
    <w:link w:val="TitleChar"/>
    <w:uiPriority w:val="10"/>
    <w:qFormat/>
    <w:rsid w:val="00984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00B"/>
    <w:pPr>
      <w:spacing w:before="160"/>
      <w:jc w:val="center"/>
    </w:pPr>
    <w:rPr>
      <w:i/>
      <w:iCs/>
      <w:color w:val="404040" w:themeColor="text1" w:themeTint="BF"/>
    </w:rPr>
  </w:style>
  <w:style w:type="character" w:customStyle="1" w:styleId="QuoteChar">
    <w:name w:val="Quote Char"/>
    <w:basedOn w:val="DefaultParagraphFont"/>
    <w:link w:val="Quote"/>
    <w:uiPriority w:val="29"/>
    <w:rsid w:val="0098400B"/>
    <w:rPr>
      <w:i/>
      <w:iCs/>
      <w:color w:val="404040" w:themeColor="text1" w:themeTint="BF"/>
    </w:rPr>
  </w:style>
  <w:style w:type="paragraph" w:styleId="ListParagraph">
    <w:name w:val="List Paragraph"/>
    <w:basedOn w:val="Normal"/>
    <w:uiPriority w:val="34"/>
    <w:qFormat/>
    <w:rsid w:val="0098400B"/>
    <w:pPr>
      <w:ind w:left="720"/>
      <w:contextualSpacing/>
    </w:pPr>
  </w:style>
  <w:style w:type="character" w:styleId="IntenseEmphasis">
    <w:name w:val="Intense Emphasis"/>
    <w:basedOn w:val="DefaultParagraphFont"/>
    <w:uiPriority w:val="21"/>
    <w:qFormat/>
    <w:rsid w:val="0098400B"/>
    <w:rPr>
      <w:i/>
      <w:iCs/>
      <w:color w:val="0F4761" w:themeColor="accent1" w:themeShade="BF"/>
    </w:rPr>
  </w:style>
  <w:style w:type="paragraph" w:styleId="IntenseQuote">
    <w:name w:val="Intense Quote"/>
    <w:basedOn w:val="Normal"/>
    <w:next w:val="Normal"/>
    <w:link w:val="IntenseQuoteChar"/>
    <w:uiPriority w:val="30"/>
    <w:qFormat/>
    <w:rsid w:val="00984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00B"/>
    <w:rPr>
      <w:i/>
      <w:iCs/>
      <w:color w:val="0F4761" w:themeColor="accent1" w:themeShade="BF"/>
    </w:rPr>
  </w:style>
  <w:style w:type="character" w:styleId="IntenseReference">
    <w:name w:val="Intense Reference"/>
    <w:basedOn w:val="DefaultParagraphFont"/>
    <w:uiPriority w:val="32"/>
    <w:qFormat/>
    <w:rsid w:val="00984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3575">
      <w:bodyDiv w:val="1"/>
      <w:marLeft w:val="0"/>
      <w:marRight w:val="0"/>
      <w:marTop w:val="0"/>
      <w:marBottom w:val="0"/>
      <w:divBdr>
        <w:top w:val="none" w:sz="0" w:space="0" w:color="auto"/>
        <w:left w:val="none" w:sz="0" w:space="0" w:color="auto"/>
        <w:bottom w:val="none" w:sz="0" w:space="0" w:color="auto"/>
        <w:right w:val="none" w:sz="0" w:space="0" w:color="auto"/>
      </w:divBdr>
      <w:divsChild>
        <w:div w:id="734208734">
          <w:marLeft w:val="0"/>
          <w:marRight w:val="0"/>
          <w:marTop w:val="0"/>
          <w:marBottom w:val="0"/>
          <w:divBdr>
            <w:top w:val="none" w:sz="0" w:space="0" w:color="auto"/>
            <w:left w:val="none" w:sz="0" w:space="0" w:color="auto"/>
            <w:bottom w:val="none" w:sz="0" w:space="0" w:color="auto"/>
            <w:right w:val="none" w:sz="0" w:space="0" w:color="auto"/>
          </w:divBdr>
          <w:divsChild>
            <w:div w:id="1556426072">
              <w:marLeft w:val="0"/>
              <w:marRight w:val="0"/>
              <w:marTop w:val="0"/>
              <w:marBottom w:val="0"/>
              <w:divBdr>
                <w:top w:val="none" w:sz="0" w:space="0" w:color="auto"/>
                <w:left w:val="none" w:sz="0" w:space="0" w:color="auto"/>
                <w:bottom w:val="none" w:sz="0" w:space="0" w:color="auto"/>
                <w:right w:val="none" w:sz="0" w:space="0" w:color="auto"/>
              </w:divBdr>
              <w:divsChild>
                <w:div w:id="566038128">
                  <w:marLeft w:val="0"/>
                  <w:marRight w:val="0"/>
                  <w:marTop w:val="0"/>
                  <w:marBottom w:val="0"/>
                  <w:divBdr>
                    <w:top w:val="none" w:sz="0" w:space="0" w:color="auto"/>
                    <w:left w:val="none" w:sz="0" w:space="0" w:color="auto"/>
                    <w:bottom w:val="none" w:sz="0" w:space="0" w:color="auto"/>
                    <w:right w:val="none" w:sz="0" w:space="0" w:color="auto"/>
                  </w:divBdr>
                </w:div>
                <w:div w:id="2072269668">
                  <w:marLeft w:val="0"/>
                  <w:marRight w:val="0"/>
                  <w:marTop w:val="0"/>
                  <w:marBottom w:val="0"/>
                  <w:divBdr>
                    <w:top w:val="none" w:sz="0" w:space="0" w:color="auto"/>
                    <w:left w:val="none" w:sz="0" w:space="0" w:color="auto"/>
                    <w:bottom w:val="none" w:sz="0" w:space="0" w:color="auto"/>
                    <w:right w:val="none" w:sz="0" w:space="0" w:color="auto"/>
                  </w:divBdr>
                </w:div>
                <w:div w:id="14282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837">
          <w:marLeft w:val="0"/>
          <w:marRight w:val="0"/>
          <w:marTop w:val="0"/>
          <w:marBottom w:val="0"/>
          <w:divBdr>
            <w:top w:val="none" w:sz="0" w:space="0" w:color="auto"/>
            <w:left w:val="none" w:sz="0" w:space="0" w:color="auto"/>
            <w:bottom w:val="none" w:sz="0" w:space="0" w:color="auto"/>
            <w:right w:val="none" w:sz="0" w:space="0" w:color="auto"/>
          </w:divBdr>
          <w:divsChild>
            <w:div w:id="21590943">
              <w:marLeft w:val="0"/>
              <w:marRight w:val="0"/>
              <w:marTop w:val="0"/>
              <w:marBottom w:val="0"/>
              <w:divBdr>
                <w:top w:val="none" w:sz="0" w:space="0" w:color="auto"/>
                <w:left w:val="none" w:sz="0" w:space="0" w:color="auto"/>
                <w:bottom w:val="none" w:sz="0" w:space="0" w:color="auto"/>
                <w:right w:val="none" w:sz="0" w:space="0" w:color="auto"/>
              </w:divBdr>
              <w:divsChild>
                <w:div w:id="2131898531">
                  <w:marLeft w:val="0"/>
                  <w:marRight w:val="0"/>
                  <w:marTop w:val="0"/>
                  <w:marBottom w:val="0"/>
                  <w:divBdr>
                    <w:top w:val="none" w:sz="0" w:space="0" w:color="auto"/>
                    <w:left w:val="none" w:sz="0" w:space="0" w:color="auto"/>
                    <w:bottom w:val="none" w:sz="0" w:space="0" w:color="auto"/>
                    <w:right w:val="none" w:sz="0" w:space="0" w:color="auto"/>
                  </w:divBdr>
                  <w:divsChild>
                    <w:div w:id="1216703282">
                      <w:marLeft w:val="0"/>
                      <w:marRight w:val="0"/>
                      <w:marTop w:val="0"/>
                      <w:marBottom w:val="0"/>
                      <w:divBdr>
                        <w:top w:val="none" w:sz="0" w:space="0" w:color="auto"/>
                        <w:left w:val="none" w:sz="0" w:space="0" w:color="auto"/>
                        <w:bottom w:val="none" w:sz="0" w:space="0" w:color="auto"/>
                        <w:right w:val="none" w:sz="0" w:space="0" w:color="auto"/>
                      </w:divBdr>
                      <w:divsChild>
                        <w:div w:id="1371766077">
                          <w:marLeft w:val="0"/>
                          <w:marRight w:val="0"/>
                          <w:marTop w:val="0"/>
                          <w:marBottom w:val="0"/>
                          <w:divBdr>
                            <w:top w:val="none" w:sz="0" w:space="0" w:color="auto"/>
                            <w:left w:val="none" w:sz="0" w:space="0" w:color="auto"/>
                            <w:bottom w:val="none" w:sz="0" w:space="0" w:color="auto"/>
                            <w:right w:val="none" w:sz="0" w:space="0" w:color="auto"/>
                          </w:divBdr>
                          <w:divsChild>
                            <w:div w:id="972365835">
                              <w:marLeft w:val="0"/>
                              <w:marRight w:val="0"/>
                              <w:marTop w:val="0"/>
                              <w:marBottom w:val="0"/>
                              <w:divBdr>
                                <w:top w:val="none" w:sz="0" w:space="0" w:color="auto"/>
                                <w:left w:val="none" w:sz="0" w:space="0" w:color="auto"/>
                                <w:bottom w:val="none" w:sz="0" w:space="0" w:color="auto"/>
                                <w:right w:val="none" w:sz="0" w:space="0" w:color="auto"/>
                              </w:divBdr>
                              <w:divsChild>
                                <w:div w:id="2143421098">
                                  <w:marLeft w:val="0"/>
                                  <w:marRight w:val="0"/>
                                  <w:marTop w:val="0"/>
                                  <w:marBottom w:val="0"/>
                                  <w:divBdr>
                                    <w:top w:val="none" w:sz="0" w:space="0" w:color="auto"/>
                                    <w:left w:val="none" w:sz="0" w:space="0" w:color="auto"/>
                                    <w:bottom w:val="none" w:sz="0" w:space="0" w:color="auto"/>
                                    <w:right w:val="none" w:sz="0" w:space="0" w:color="auto"/>
                                  </w:divBdr>
                                  <w:divsChild>
                                    <w:div w:id="1629428865">
                                      <w:marLeft w:val="0"/>
                                      <w:marRight w:val="0"/>
                                      <w:marTop w:val="0"/>
                                      <w:marBottom w:val="0"/>
                                      <w:divBdr>
                                        <w:top w:val="none" w:sz="0" w:space="0" w:color="auto"/>
                                        <w:left w:val="none" w:sz="0" w:space="0" w:color="auto"/>
                                        <w:bottom w:val="none" w:sz="0" w:space="0" w:color="auto"/>
                                        <w:right w:val="none" w:sz="0" w:space="0" w:color="auto"/>
                                      </w:divBdr>
                                      <w:divsChild>
                                        <w:div w:id="306476259">
                                          <w:marLeft w:val="0"/>
                                          <w:marRight w:val="0"/>
                                          <w:marTop w:val="0"/>
                                          <w:marBottom w:val="0"/>
                                          <w:divBdr>
                                            <w:top w:val="none" w:sz="0" w:space="0" w:color="auto"/>
                                            <w:left w:val="none" w:sz="0" w:space="0" w:color="auto"/>
                                            <w:bottom w:val="none" w:sz="0" w:space="0" w:color="auto"/>
                                            <w:right w:val="none" w:sz="0" w:space="0" w:color="auto"/>
                                          </w:divBdr>
                                          <w:divsChild>
                                            <w:div w:id="1820918221">
                                              <w:marLeft w:val="0"/>
                                              <w:marRight w:val="0"/>
                                              <w:marTop w:val="0"/>
                                              <w:marBottom w:val="0"/>
                                              <w:divBdr>
                                                <w:top w:val="none" w:sz="0" w:space="0" w:color="auto"/>
                                                <w:left w:val="none" w:sz="0" w:space="0" w:color="auto"/>
                                                <w:bottom w:val="none" w:sz="0" w:space="0" w:color="auto"/>
                                                <w:right w:val="none" w:sz="0" w:space="0" w:color="auto"/>
                                              </w:divBdr>
                                              <w:divsChild>
                                                <w:div w:id="727263328">
                                                  <w:marLeft w:val="0"/>
                                                  <w:marRight w:val="0"/>
                                                  <w:marTop w:val="0"/>
                                                  <w:marBottom w:val="0"/>
                                                  <w:divBdr>
                                                    <w:top w:val="none" w:sz="0" w:space="0" w:color="auto"/>
                                                    <w:left w:val="none" w:sz="0" w:space="0" w:color="auto"/>
                                                    <w:bottom w:val="none" w:sz="0" w:space="0" w:color="auto"/>
                                                    <w:right w:val="none" w:sz="0" w:space="0" w:color="auto"/>
                                                  </w:divBdr>
                                                </w:div>
                                                <w:div w:id="576869037">
                                                  <w:marLeft w:val="0"/>
                                                  <w:marRight w:val="0"/>
                                                  <w:marTop w:val="0"/>
                                                  <w:marBottom w:val="0"/>
                                                  <w:divBdr>
                                                    <w:top w:val="none" w:sz="0" w:space="0" w:color="auto"/>
                                                    <w:left w:val="none" w:sz="0" w:space="0" w:color="auto"/>
                                                    <w:bottom w:val="none" w:sz="0" w:space="0" w:color="auto"/>
                                                    <w:right w:val="none" w:sz="0" w:space="0" w:color="auto"/>
                                                  </w:divBdr>
                                                  <w:divsChild>
                                                    <w:div w:id="8456247">
                                                      <w:marLeft w:val="0"/>
                                                      <w:marRight w:val="0"/>
                                                      <w:marTop w:val="0"/>
                                                      <w:marBottom w:val="0"/>
                                                      <w:divBdr>
                                                        <w:top w:val="none" w:sz="0" w:space="0" w:color="auto"/>
                                                        <w:left w:val="none" w:sz="0" w:space="0" w:color="auto"/>
                                                        <w:bottom w:val="none" w:sz="0" w:space="0" w:color="auto"/>
                                                        <w:right w:val="none" w:sz="0" w:space="0" w:color="auto"/>
                                                      </w:divBdr>
                                                    </w:div>
                                                  </w:divsChild>
                                                </w:div>
                                                <w:div w:id="16933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check-if-the-cost-of-training-could-be-an-allowable-business-exp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hmrc-internal-manuals/business-income-manual/bim42526" TargetMode="External"/><Relationship Id="rId5" Type="http://schemas.openxmlformats.org/officeDocument/2006/relationships/hyperlink" Target="https://www.gov.uk/hmrc-internal-manuals/business-income-manual/bim356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Pritchard</dc:creator>
  <cp:keywords/>
  <dc:description/>
  <cp:lastModifiedBy>Karen Pritchard</cp:lastModifiedBy>
  <cp:revision>3</cp:revision>
  <dcterms:created xsi:type="dcterms:W3CDTF">2024-03-11T12:58:00Z</dcterms:created>
  <dcterms:modified xsi:type="dcterms:W3CDTF">2024-03-11T13:01:00Z</dcterms:modified>
</cp:coreProperties>
</file>